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4C" w:rsidRPr="00E930E4" w:rsidRDefault="005A184C" w:rsidP="005A184C">
      <w:pPr>
        <w:pStyle w:val="Default"/>
        <w:rPr>
          <w:b/>
          <w:color w:val="auto"/>
        </w:rPr>
      </w:pPr>
      <w:r w:rsidRPr="00E930E4">
        <w:rPr>
          <w:b/>
          <w:color w:val="auto"/>
        </w:rPr>
        <w:t>ПРИЛОЖЕНИЕ № 1</w:t>
      </w:r>
    </w:p>
    <w:p w:rsidR="005A184C" w:rsidRDefault="005A184C" w:rsidP="005A184C">
      <w:pPr>
        <w:pStyle w:val="Default"/>
        <w:rPr>
          <w:b/>
          <w:color w:val="auto"/>
          <w:lang w:val="en-US"/>
        </w:rPr>
      </w:pPr>
      <w:r w:rsidRPr="00E930E4">
        <w:rPr>
          <w:color w:val="auto"/>
          <w:lang w:val="en-US"/>
        </w:rPr>
        <w:tab/>
      </w:r>
      <w:r w:rsidRPr="00E930E4">
        <w:rPr>
          <w:color w:val="auto"/>
          <w:lang w:val="en-US"/>
        </w:rPr>
        <w:tab/>
      </w:r>
      <w:r w:rsidRPr="00E930E4">
        <w:rPr>
          <w:color w:val="auto"/>
          <w:lang w:val="en-US"/>
        </w:rPr>
        <w:tab/>
      </w:r>
      <w:r>
        <w:rPr>
          <w:b/>
          <w:color w:val="auto"/>
          <w:lang w:val="en-US"/>
        </w:rPr>
        <w:tab/>
      </w:r>
      <w:r>
        <w:rPr>
          <w:b/>
          <w:color w:val="auto"/>
          <w:lang w:val="en-US"/>
        </w:rPr>
        <w:tab/>
      </w:r>
      <w:r>
        <w:rPr>
          <w:b/>
          <w:color w:val="auto"/>
          <w:lang w:val="en-US"/>
        </w:rPr>
        <w:tab/>
      </w:r>
      <w:r>
        <w:rPr>
          <w:b/>
          <w:color w:val="auto"/>
          <w:lang w:val="en-US"/>
        </w:rPr>
        <w:tab/>
      </w:r>
      <w:r>
        <w:rPr>
          <w:b/>
          <w:color w:val="auto"/>
          <w:lang w:val="en-US"/>
        </w:rPr>
        <w:tab/>
      </w:r>
    </w:p>
    <w:p w:rsidR="005A184C" w:rsidRDefault="005A184C" w:rsidP="005A184C">
      <w:pPr>
        <w:pStyle w:val="Default"/>
        <w:rPr>
          <w:b/>
          <w:color w:val="auto"/>
          <w:lang w:val="en-US"/>
        </w:rPr>
      </w:pPr>
    </w:p>
    <w:p w:rsidR="005A184C" w:rsidRDefault="005A184C" w:rsidP="005A184C">
      <w:pPr>
        <w:pStyle w:val="Default"/>
        <w:rPr>
          <w:b/>
          <w:color w:val="auto"/>
          <w:lang w:val="en-US"/>
        </w:rPr>
      </w:pPr>
    </w:p>
    <w:p w:rsidR="005A184C" w:rsidRPr="00AF3D73" w:rsidRDefault="005A184C" w:rsidP="005A184C">
      <w:pPr>
        <w:pStyle w:val="Default"/>
        <w:rPr>
          <w:b/>
          <w:color w:val="auto"/>
        </w:rPr>
      </w:pPr>
      <w:r w:rsidRPr="00AF3D73">
        <w:rPr>
          <w:b/>
          <w:color w:val="auto"/>
        </w:rPr>
        <w:t xml:space="preserve">ОДОБРИЛ: МАКСИМ МИНЧЕВ – ГЕНЕРАЛЕНДИРЕКТОР </w:t>
      </w:r>
      <w:r>
        <w:rPr>
          <w:b/>
          <w:color w:val="auto"/>
        </w:rPr>
        <w:t>НА БТА......................</w:t>
      </w:r>
    </w:p>
    <w:p w:rsidR="005A184C" w:rsidRPr="00AF3D73" w:rsidRDefault="005A184C" w:rsidP="005A184C">
      <w:pPr>
        <w:pStyle w:val="Default"/>
        <w:rPr>
          <w:b/>
          <w:color w:val="auto"/>
        </w:rPr>
      </w:pPr>
    </w:p>
    <w:p w:rsidR="005A184C" w:rsidRPr="00AF3D73" w:rsidRDefault="005A184C" w:rsidP="005A184C">
      <w:pPr>
        <w:pStyle w:val="Default"/>
        <w:rPr>
          <w:b/>
          <w:color w:val="auto"/>
        </w:rPr>
      </w:pPr>
      <w:r w:rsidRPr="00AF3D73">
        <w:rPr>
          <w:b/>
          <w:color w:val="auto"/>
        </w:rPr>
        <w:tab/>
      </w:r>
      <w:r w:rsidRPr="00AF3D73">
        <w:rPr>
          <w:b/>
          <w:color w:val="auto"/>
        </w:rPr>
        <w:tab/>
        <w:t>София, 12.10.2015 г.</w:t>
      </w:r>
    </w:p>
    <w:p w:rsidR="005A184C" w:rsidRPr="00AF3D73" w:rsidRDefault="005A184C" w:rsidP="005A184C">
      <w:pPr>
        <w:pStyle w:val="Default"/>
        <w:rPr>
          <w:color w:val="auto"/>
          <w:lang w:val="en-US"/>
        </w:rPr>
      </w:pPr>
    </w:p>
    <w:p w:rsidR="005A184C" w:rsidRPr="00703591" w:rsidRDefault="005A184C" w:rsidP="005A184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03591">
        <w:rPr>
          <w:rFonts w:ascii="Times New Roman" w:hAnsi="Times New Roman"/>
          <w:b/>
          <w:bCs/>
          <w:sz w:val="24"/>
          <w:szCs w:val="24"/>
        </w:rPr>
        <w:t xml:space="preserve">ЗА ВЪЗЛАГАНЕ НА ОБЩЕСТВЕНА ПОРЪЧКА ЧРЕЗ ПУБЛИЧНА ПОКАНА С ПРЕДМЕТ </w:t>
      </w:r>
      <w:r w:rsidRPr="00703591">
        <w:rPr>
          <w:rFonts w:ascii="Times New Roman" w:hAnsi="Times New Roman"/>
          <w:b/>
          <w:i/>
          <w:sz w:val="24"/>
          <w:szCs w:val="24"/>
        </w:rPr>
        <w:t xml:space="preserve">„Предоставяне на цифрова мобилна телефонна услуга клас </w:t>
      </w:r>
      <w:r w:rsidRPr="00703591">
        <w:rPr>
          <w:rFonts w:ascii="Times New Roman" w:hAnsi="Times New Roman"/>
          <w:b/>
          <w:i/>
          <w:sz w:val="24"/>
          <w:szCs w:val="24"/>
          <w:lang w:val="en-US"/>
        </w:rPr>
        <w:t xml:space="preserve">“GSM” </w:t>
      </w:r>
      <w:r w:rsidRPr="00703591">
        <w:rPr>
          <w:rFonts w:ascii="Times New Roman" w:hAnsi="Times New Roman"/>
          <w:b/>
          <w:i/>
          <w:sz w:val="24"/>
          <w:szCs w:val="24"/>
        </w:rPr>
        <w:t>и свързани специализирани услуги по ползването на мобилни  телефонни мрежи”</w:t>
      </w:r>
      <w:r w:rsidRPr="00703591" w:rsidDel="00EB365D">
        <w:rPr>
          <w:rFonts w:ascii="Times New Roman" w:hAnsi="Times New Roman"/>
          <w:sz w:val="24"/>
          <w:szCs w:val="24"/>
        </w:rPr>
        <w:t xml:space="preserve"> </w:t>
      </w:r>
    </w:p>
    <w:p w:rsidR="005A184C" w:rsidRPr="00703591" w:rsidRDefault="005A184C" w:rsidP="005A184C">
      <w:pPr>
        <w:rPr>
          <w:rFonts w:ascii="Times New Roman" w:hAnsi="Times New Roman"/>
          <w:b/>
          <w:bCs/>
          <w:sz w:val="24"/>
          <w:szCs w:val="24"/>
        </w:rPr>
      </w:pPr>
    </w:p>
    <w:p w:rsidR="005A184C" w:rsidRPr="00703591" w:rsidRDefault="005A184C" w:rsidP="005A184C">
      <w:pPr>
        <w:rPr>
          <w:rFonts w:ascii="Times New Roman" w:hAnsi="Times New Roman"/>
          <w:b/>
          <w:bCs/>
          <w:sz w:val="24"/>
          <w:szCs w:val="24"/>
        </w:rPr>
      </w:pPr>
    </w:p>
    <w:p w:rsidR="005A184C" w:rsidRPr="00703591" w:rsidRDefault="005A184C" w:rsidP="005A184C">
      <w:pPr>
        <w:pStyle w:val="Default"/>
        <w:rPr>
          <w:color w:val="auto"/>
        </w:rPr>
      </w:pPr>
      <w:r w:rsidRPr="00703591">
        <w:rPr>
          <w:b/>
          <w:bCs/>
          <w:color w:val="auto"/>
        </w:rPr>
        <w:t xml:space="preserve">ТЕХНИЧЕСКО ЗАДАНИЕ </w:t>
      </w:r>
    </w:p>
    <w:p w:rsidR="005A184C" w:rsidRPr="00703591" w:rsidRDefault="005A184C" w:rsidP="005A184C">
      <w:pPr>
        <w:pStyle w:val="Default"/>
        <w:rPr>
          <w:color w:val="auto"/>
        </w:rPr>
      </w:pPr>
      <w:r w:rsidRPr="00703591">
        <w:rPr>
          <w:b/>
          <w:bCs/>
          <w:color w:val="auto"/>
        </w:rPr>
        <w:t xml:space="preserve">1.Технически изисквания: </w:t>
      </w:r>
    </w:p>
    <w:p w:rsidR="005A184C" w:rsidRPr="00703591" w:rsidRDefault="005A184C" w:rsidP="005A184C">
      <w:pPr>
        <w:rPr>
          <w:rFonts w:ascii="Times New Roman" w:hAnsi="Times New Roman"/>
          <w:sz w:val="24"/>
          <w:szCs w:val="24"/>
        </w:rPr>
      </w:pPr>
      <w:r w:rsidRPr="00703591">
        <w:rPr>
          <w:rFonts w:ascii="Times New Roman" w:hAnsi="Times New Roman"/>
          <w:sz w:val="24"/>
          <w:szCs w:val="24"/>
        </w:rPr>
        <w:t>Минимални функционалности и изисквания към услугата</w:t>
      </w:r>
    </w:p>
    <w:tbl>
      <w:tblPr>
        <w:tblW w:w="921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518"/>
        <w:gridCol w:w="1877"/>
      </w:tblGrid>
      <w:tr w:rsidR="005A184C" w:rsidRPr="00703591" w:rsidTr="00A424CC">
        <w:trPr>
          <w:trHeight w:val="98"/>
        </w:trPr>
        <w:tc>
          <w:tcPr>
            <w:tcW w:w="81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>Минимални изисквания към услугата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9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Ползваните от БТА служебни SIM-карти трябва да бъдат обособени в бизнес-група с безплатни и неограничени разговори в нея.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9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Осигуряване на възможност за провеждане на изходящи и входящи разговори в мрежата на оператора.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9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Осигуряване на възможност за провеждане на изходящи и входящи разговори с крайни потребители на други мобилни и фиксирани наземни мрежи.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9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Осигуряване на възможност за провеждане на международни разговори с крайни потребители на мобилни и фиксирани наземни мрежи в Европа и останалата част от света.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9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Осигуряване на възможност за провеждане на разговори в Международен Роуминг с крайни потребители на мобилни и фиксирани наземни мрежи.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801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Осигуряване на възможност за ползване на услугите „мобилен Интернет” и „пренос/предаване на данни”. Мрежата на участника трябва да поддържа във всички точки на покритие методи/протоколи за пренос/предаване на данни през канали GPRS (General </w:t>
            </w:r>
            <w:proofErr w:type="spellStart"/>
            <w:r w:rsidRPr="00703591">
              <w:rPr>
                <w:color w:val="auto"/>
              </w:rPr>
              <w:t>Packet</w:t>
            </w:r>
            <w:proofErr w:type="spellEnd"/>
            <w:r w:rsidRPr="00703591">
              <w:rPr>
                <w:color w:val="auto"/>
              </w:rPr>
              <w:t xml:space="preserve"> </w:t>
            </w:r>
            <w:proofErr w:type="spellStart"/>
            <w:r w:rsidRPr="00703591">
              <w:rPr>
                <w:color w:val="auto"/>
              </w:rPr>
              <w:t>Radio</w:t>
            </w:r>
            <w:proofErr w:type="spellEnd"/>
            <w:r w:rsidRPr="00703591">
              <w:rPr>
                <w:color w:val="auto"/>
              </w:rPr>
              <w:t xml:space="preserve"> Service) и EDGE (</w:t>
            </w:r>
            <w:proofErr w:type="spellStart"/>
            <w:r w:rsidRPr="00703591">
              <w:rPr>
                <w:color w:val="auto"/>
              </w:rPr>
              <w:t>Enhanced</w:t>
            </w:r>
            <w:proofErr w:type="spellEnd"/>
            <w:r w:rsidRPr="00703591">
              <w:rPr>
                <w:color w:val="auto"/>
              </w:rPr>
              <w:t xml:space="preserve"> Data </w:t>
            </w:r>
            <w:proofErr w:type="spellStart"/>
            <w:r w:rsidRPr="00703591">
              <w:rPr>
                <w:color w:val="auto"/>
              </w:rPr>
              <w:t>rates</w:t>
            </w:r>
            <w:proofErr w:type="spellEnd"/>
            <w:r w:rsidRPr="00703591">
              <w:rPr>
                <w:color w:val="auto"/>
              </w:rPr>
              <w:t xml:space="preserve"> </w:t>
            </w:r>
            <w:proofErr w:type="spellStart"/>
            <w:r w:rsidRPr="00703591">
              <w:rPr>
                <w:color w:val="auto"/>
              </w:rPr>
              <w:t>for</w:t>
            </w:r>
            <w:proofErr w:type="spellEnd"/>
            <w:r w:rsidRPr="00703591">
              <w:rPr>
                <w:color w:val="auto"/>
              </w:rPr>
              <w:t xml:space="preserve"> GSM </w:t>
            </w:r>
            <w:proofErr w:type="spellStart"/>
            <w:r w:rsidRPr="00703591">
              <w:rPr>
                <w:color w:val="auto"/>
              </w:rPr>
              <w:t>Evolution</w:t>
            </w:r>
            <w:proofErr w:type="spellEnd"/>
            <w:r w:rsidRPr="00703591">
              <w:rPr>
                <w:color w:val="auto"/>
              </w:rPr>
              <w:t>) и UMTS (</w:t>
            </w:r>
            <w:proofErr w:type="spellStart"/>
            <w:r w:rsidRPr="00703591">
              <w:rPr>
                <w:color w:val="auto"/>
              </w:rPr>
              <w:t>Universal</w:t>
            </w:r>
            <w:proofErr w:type="spellEnd"/>
            <w:r w:rsidRPr="00703591">
              <w:rPr>
                <w:color w:val="auto"/>
              </w:rPr>
              <w:t xml:space="preserve"> </w:t>
            </w:r>
            <w:proofErr w:type="spellStart"/>
            <w:r w:rsidRPr="00703591">
              <w:rPr>
                <w:color w:val="auto"/>
              </w:rPr>
              <w:t>Mobile</w:t>
            </w:r>
            <w:proofErr w:type="spellEnd"/>
            <w:r w:rsidRPr="00703591">
              <w:rPr>
                <w:color w:val="auto"/>
              </w:rPr>
              <w:t xml:space="preserve"> </w:t>
            </w:r>
            <w:proofErr w:type="spellStart"/>
            <w:r w:rsidRPr="00703591">
              <w:rPr>
                <w:color w:val="auto"/>
              </w:rPr>
              <w:t>Telecommunications</w:t>
            </w:r>
            <w:proofErr w:type="spellEnd"/>
            <w:r w:rsidRPr="00703591">
              <w:rPr>
                <w:color w:val="auto"/>
              </w:rPr>
              <w:t xml:space="preserve"> </w:t>
            </w:r>
            <w:proofErr w:type="spellStart"/>
            <w:r w:rsidRPr="00703591">
              <w:rPr>
                <w:color w:val="auto"/>
              </w:rPr>
              <w:t>System</w:t>
            </w:r>
            <w:proofErr w:type="spellEnd"/>
            <w:r w:rsidRPr="00703591">
              <w:rPr>
                <w:color w:val="auto"/>
              </w:rPr>
              <w:t xml:space="preserve">).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110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Осигуряване на възможност за ползване на услугите SMS и MMS.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385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Осигуряване на детайлизирана справка с подробно описание на проведените изходящи разговори, предоставена като разпечатка, в електронен формат или в Интернет – минимум три месеца назад.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386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Осигуряване на възможност за ползване на услугата </w:t>
            </w:r>
            <w:r w:rsidRPr="00703591">
              <w:rPr>
                <w:b/>
                <w:bCs/>
                <w:color w:val="auto"/>
              </w:rPr>
              <w:t>CLIR (</w:t>
            </w:r>
            <w:proofErr w:type="spellStart"/>
            <w:r w:rsidRPr="00703591">
              <w:rPr>
                <w:b/>
                <w:bCs/>
                <w:color w:val="auto"/>
              </w:rPr>
              <w:t>Calling</w:t>
            </w:r>
            <w:proofErr w:type="spellEnd"/>
            <w:r w:rsidRPr="0070359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03591">
              <w:rPr>
                <w:b/>
                <w:bCs/>
                <w:color w:val="auto"/>
              </w:rPr>
              <w:t>Line</w:t>
            </w:r>
            <w:proofErr w:type="spellEnd"/>
            <w:r w:rsidRPr="0070359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03591">
              <w:rPr>
                <w:b/>
                <w:bCs/>
                <w:color w:val="auto"/>
              </w:rPr>
              <w:t>Identity</w:t>
            </w:r>
            <w:proofErr w:type="spellEnd"/>
            <w:r w:rsidRPr="0070359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03591">
              <w:rPr>
                <w:b/>
                <w:bCs/>
                <w:color w:val="auto"/>
              </w:rPr>
              <w:t>Restriction</w:t>
            </w:r>
            <w:proofErr w:type="spellEnd"/>
            <w:r w:rsidRPr="00703591">
              <w:rPr>
                <w:b/>
                <w:bCs/>
                <w:color w:val="auto"/>
              </w:rPr>
              <w:t xml:space="preserve">) - </w:t>
            </w:r>
            <w:r w:rsidRPr="00703591">
              <w:rPr>
                <w:color w:val="auto"/>
              </w:rPr>
              <w:t xml:space="preserve">забрана за показване на собствения номер.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24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Осигуряване на възможност за ползване на услугата </w:t>
            </w:r>
            <w:r w:rsidRPr="00703591">
              <w:rPr>
                <w:b/>
                <w:bCs/>
                <w:color w:val="auto"/>
              </w:rPr>
              <w:t>CLIP (</w:t>
            </w:r>
            <w:proofErr w:type="spellStart"/>
            <w:r w:rsidRPr="00703591">
              <w:rPr>
                <w:b/>
                <w:bCs/>
                <w:color w:val="auto"/>
              </w:rPr>
              <w:t>Calling</w:t>
            </w:r>
            <w:proofErr w:type="spellEnd"/>
            <w:r w:rsidRPr="0070359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03591">
              <w:rPr>
                <w:b/>
                <w:bCs/>
                <w:color w:val="auto"/>
              </w:rPr>
              <w:t>Line</w:t>
            </w:r>
            <w:proofErr w:type="spellEnd"/>
            <w:r w:rsidRPr="0070359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03591">
              <w:rPr>
                <w:b/>
                <w:bCs/>
                <w:color w:val="auto"/>
              </w:rPr>
              <w:t>Identity</w:t>
            </w:r>
            <w:proofErr w:type="spellEnd"/>
            <w:r w:rsidRPr="0070359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03591">
              <w:rPr>
                <w:b/>
                <w:bCs/>
                <w:color w:val="auto"/>
              </w:rPr>
              <w:t>Presentation</w:t>
            </w:r>
            <w:proofErr w:type="spellEnd"/>
            <w:r w:rsidRPr="00703591">
              <w:rPr>
                <w:b/>
                <w:bCs/>
                <w:color w:val="auto"/>
              </w:rPr>
              <w:t xml:space="preserve">) - </w:t>
            </w:r>
            <w:r w:rsidRPr="00703591">
              <w:rPr>
                <w:color w:val="auto"/>
              </w:rPr>
              <w:t xml:space="preserve">показване номера на търсещия.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24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Осигуряване на възможност за ползване на услугата конферентна връзка.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24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Осигуряване на възможност за ползване на услугата Пренасочване на повиквания.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24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Осигуряване на възможност за ползване на услугата Промяна на номер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24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Осигуряване на възможност за забрана за ползване на услугата роуминг на определени номера (SIM карти) при необходимост.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386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Да притежава работеща система за обслужване на клиенти и да има ясна схема за реакция и своевременно отстраняване на възникнали проблеми.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24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Да разполага с обучен технически и административен персонал за контакт, при възникване на необходимост.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24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Да осигури възможност за ползване на услугата гласова пощенска кутия.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24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Да осигури възможност за режим на изчакване при постъпило повикване в момент на друг разговор.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24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Да осигури възможност за провеждане на спешни повиквания към номерата 112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24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Предоставяне на дубликат на открадната или изгубена SIM-карта.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24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Да осигурява възможност за налагане на кредитен лимит на ниво SIM карта, според изискванията и нуждите на възложителя.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248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Да осигурява известяване чрез SMS при достигане на 80 % от кредитния лимит.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386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Да осигури възможност за преносимост на ползваните от Възложителя мобилни номера, съгласно одобрената от КРС процедура. 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850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>Участника да притежава разрешение от КРС за съответната дейност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Да осигури всички горепосочени услуги чрез използване на разрешените за употреба в Република България радиочестотни спектри.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Услугата трябва да предоставя възможност за запазване на съществуващите мобилни телефонни номера, използвани понастоящем от БТА – безплатна преносимост на съществуващи номера.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Услугата следва да бъде таксувана от оператора на всяка секунда след минималната продължителност на разговора, определена от оператора – тарифен план 60/1 при който </w:t>
            </w:r>
            <w:r w:rsidRPr="00703591">
              <w:rPr>
                <w:color w:val="auto"/>
              </w:rPr>
              <w:lastRenderedPageBreak/>
              <w:t>разговорът се таксува на първата минута и след това на секунда.</w:t>
            </w:r>
          </w:p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Услугата следва да осигури възможност на всеки индивидуален абонат от групата на БТА възможност за проверка на индивидуалната сметка и други справки, чрез обаждане на номер за обслужване на клиенти.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Услугата трябва да осигури възможност за служителите на БТА, които закупят или подпишат нов договор за вече закупени лични SIM карти, да ползват преференциални цени и условия.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Услугата следва да позволява по време на действие на договора закупуването на нови SIM карти за нуждите на БТА при същите или по-изгодни от договорените условия.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Услугата следва да осигури възможност напуснали БТА служители да могат да прехвърлят служебните си телефонни номера на собствено име.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6E3DE7" w:rsidRDefault="005A184C" w:rsidP="00A424CC">
            <w:pPr>
              <w:pStyle w:val="Default"/>
              <w:rPr>
                <w:color w:val="auto"/>
                <w:lang w:val="en-US"/>
              </w:rPr>
            </w:pPr>
            <w:r w:rsidRPr="00703591">
              <w:rPr>
                <w:color w:val="auto"/>
              </w:rPr>
              <w:t>Услугата трябва да включва предоставянето на карти и устройства за мобилен достъп до Интернет</w:t>
            </w:r>
            <w:r>
              <w:rPr>
                <w:color w:val="auto"/>
              </w:rPr>
              <w:t xml:space="preserve">, </w:t>
            </w:r>
            <w:r w:rsidRPr="00EA201D">
              <w:rPr>
                <w:color w:val="auto"/>
              </w:rPr>
              <w:t xml:space="preserve">като еднократно за срока на договора за всяка карта се предоставя ново </w:t>
            </w:r>
            <w:proofErr w:type="spellStart"/>
            <w:r w:rsidRPr="00EA201D">
              <w:rPr>
                <w:color w:val="auto"/>
              </w:rPr>
              <w:t>устойство</w:t>
            </w:r>
            <w:proofErr w:type="spellEnd"/>
            <w:r w:rsidRPr="00EA201D">
              <w:rPr>
                <w:color w:val="auto"/>
              </w:rPr>
              <w:t xml:space="preserve">. </w:t>
            </w:r>
            <w:r w:rsidRPr="00703591">
              <w:rPr>
                <w:color w:val="auto"/>
              </w:rPr>
              <w:t xml:space="preserve">Устройствата трябва да могат да се включват към USB порт на компютър.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>Услугата трябва да позволява услуги свързани с промяната на условия по даден SIM, както и други услуги свързани с прилагането на договора да могат да бъдат заявявани по телефон и/или e-</w:t>
            </w:r>
            <w:proofErr w:type="spellStart"/>
            <w:r w:rsidRPr="00703591">
              <w:rPr>
                <w:color w:val="auto"/>
              </w:rPr>
              <w:t>mail</w:t>
            </w:r>
            <w:proofErr w:type="spellEnd"/>
            <w:r w:rsidRPr="00703591">
              <w:rPr>
                <w:color w:val="auto"/>
              </w:rPr>
              <w:t xml:space="preserve">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110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 xml:space="preserve">Услугата трябва да осигурява безплатно минимум следните услуги свързани с ползването на мрежата: </w:t>
            </w:r>
          </w:p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 xml:space="preserve">Дубликати на </w:t>
            </w:r>
            <w:proofErr w:type="spellStart"/>
            <w:r w:rsidRPr="00703591">
              <w:rPr>
                <w:rFonts w:ascii="Times New Roman" w:hAnsi="Times New Roman"/>
                <w:sz w:val="24"/>
                <w:szCs w:val="24"/>
              </w:rPr>
              <w:t>сим</w:t>
            </w:r>
            <w:proofErr w:type="spellEnd"/>
            <w:r w:rsidRPr="00703591">
              <w:rPr>
                <w:rFonts w:ascii="Times New Roman" w:hAnsi="Times New Roman"/>
                <w:sz w:val="24"/>
                <w:szCs w:val="24"/>
              </w:rPr>
              <w:t xml:space="preserve"> карти (</w:t>
            </w:r>
            <w:proofErr w:type="spellStart"/>
            <w:r w:rsidRPr="00703591">
              <w:rPr>
                <w:rFonts w:ascii="Times New Roman" w:hAnsi="Times New Roman"/>
                <w:sz w:val="24"/>
                <w:szCs w:val="24"/>
              </w:rPr>
              <w:t>кражба,изгубване</w:t>
            </w:r>
            <w:proofErr w:type="spellEnd"/>
            <w:r w:rsidRPr="007035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 xml:space="preserve">Нови </w:t>
            </w:r>
            <w:proofErr w:type="spellStart"/>
            <w:r w:rsidRPr="00703591">
              <w:rPr>
                <w:rFonts w:ascii="Times New Roman" w:hAnsi="Times New Roman"/>
                <w:sz w:val="24"/>
                <w:szCs w:val="24"/>
              </w:rPr>
              <w:t>сим</w:t>
            </w:r>
            <w:proofErr w:type="spellEnd"/>
            <w:r w:rsidRPr="00703591">
              <w:rPr>
                <w:rFonts w:ascii="Times New Roman" w:hAnsi="Times New Roman"/>
                <w:sz w:val="24"/>
                <w:szCs w:val="24"/>
              </w:rPr>
              <w:t xml:space="preserve"> карти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Подробно месечно извлечение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Избор на кредитен лимит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Безплатни номера по избор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Диапазон от номера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Смяна потребител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Промяна на номер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Електронна фактура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Смяна на адрес за кореспонденция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Смяна на постоянен адресна регистрация/седалище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Дубликат на данъчна фактура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Промяна на име на абонат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Прекратяване на подробно месечно извлечение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Прехвърляне на депозит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Забрана за издаване на подробно месечно извлечение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Промяна на МОЛ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Временно спиране на достъпа до мрежата- При открадната/изгубена СИМ карта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Активиране на услуги: </w:t>
            </w:r>
            <w:proofErr w:type="spellStart"/>
            <w:r w:rsidRPr="00703591"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 w:rsidRPr="00703591">
              <w:rPr>
                <w:rFonts w:ascii="Times New Roman" w:hAnsi="Times New Roman"/>
                <w:sz w:val="24"/>
                <w:szCs w:val="24"/>
              </w:rPr>
              <w:t xml:space="preserve">, SMS, </w:t>
            </w:r>
            <w:proofErr w:type="spellStart"/>
            <w:r w:rsidRPr="00703591">
              <w:rPr>
                <w:rFonts w:ascii="Times New Roman" w:hAnsi="Times New Roman"/>
                <w:sz w:val="24"/>
                <w:szCs w:val="24"/>
              </w:rPr>
              <w:t>Voice</w:t>
            </w:r>
            <w:proofErr w:type="spellEnd"/>
            <w:r w:rsidRPr="00703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3591">
              <w:rPr>
                <w:rFonts w:ascii="Times New Roman" w:hAnsi="Times New Roman"/>
                <w:sz w:val="24"/>
                <w:szCs w:val="24"/>
              </w:rPr>
              <w:t>mail,Clir</w:t>
            </w:r>
            <w:proofErr w:type="spellEnd"/>
            <w:r w:rsidRPr="00703591">
              <w:rPr>
                <w:rFonts w:ascii="Times New Roman" w:hAnsi="Times New Roman"/>
                <w:sz w:val="24"/>
                <w:szCs w:val="24"/>
              </w:rPr>
              <w:t xml:space="preserve">, MMS, GPRS, Конферентна </w:t>
            </w:r>
            <w:proofErr w:type="spellStart"/>
            <w:r w:rsidRPr="00703591">
              <w:rPr>
                <w:rFonts w:ascii="Times New Roman" w:hAnsi="Times New Roman"/>
                <w:sz w:val="24"/>
                <w:szCs w:val="24"/>
              </w:rPr>
              <w:t>връзка,гласова</w:t>
            </w:r>
            <w:proofErr w:type="spellEnd"/>
            <w:r w:rsidRPr="00703591">
              <w:rPr>
                <w:rFonts w:ascii="Times New Roman" w:hAnsi="Times New Roman"/>
                <w:sz w:val="24"/>
                <w:szCs w:val="24"/>
              </w:rPr>
              <w:t xml:space="preserve"> поща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 xml:space="preserve">Прекратяване на услуги – </w:t>
            </w:r>
            <w:proofErr w:type="spellStart"/>
            <w:r w:rsidRPr="00703591"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 w:rsidRPr="00703591">
              <w:rPr>
                <w:rFonts w:ascii="Times New Roman" w:hAnsi="Times New Roman"/>
                <w:sz w:val="24"/>
                <w:szCs w:val="24"/>
              </w:rPr>
              <w:t xml:space="preserve">, SMS, </w:t>
            </w:r>
            <w:proofErr w:type="spellStart"/>
            <w:r w:rsidRPr="00703591">
              <w:rPr>
                <w:rFonts w:ascii="Times New Roman" w:hAnsi="Times New Roman"/>
                <w:sz w:val="24"/>
                <w:szCs w:val="24"/>
              </w:rPr>
              <w:t>Voice</w:t>
            </w:r>
            <w:proofErr w:type="spellEnd"/>
            <w:r w:rsidRPr="00703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3591">
              <w:rPr>
                <w:rFonts w:ascii="Times New Roman" w:hAnsi="Times New Roman"/>
                <w:sz w:val="24"/>
                <w:szCs w:val="24"/>
              </w:rPr>
              <w:t>mail,Clir</w:t>
            </w:r>
            <w:proofErr w:type="spellEnd"/>
            <w:r w:rsidRPr="00703591">
              <w:rPr>
                <w:rFonts w:ascii="Times New Roman" w:hAnsi="Times New Roman"/>
                <w:sz w:val="24"/>
                <w:szCs w:val="24"/>
              </w:rPr>
              <w:t xml:space="preserve">, MMS, GPRS, Конферентна </w:t>
            </w:r>
            <w:proofErr w:type="spellStart"/>
            <w:r w:rsidRPr="00703591">
              <w:rPr>
                <w:rFonts w:ascii="Times New Roman" w:hAnsi="Times New Roman"/>
                <w:sz w:val="24"/>
                <w:szCs w:val="24"/>
              </w:rPr>
              <w:t>връзка,гласова</w:t>
            </w:r>
            <w:proofErr w:type="spellEnd"/>
            <w:r w:rsidRPr="00703591">
              <w:rPr>
                <w:rFonts w:ascii="Times New Roman" w:hAnsi="Times New Roman"/>
                <w:sz w:val="24"/>
                <w:szCs w:val="24"/>
              </w:rPr>
              <w:t xml:space="preserve"> поща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Прекратяване на СИМ карта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Промяна на вида абонамент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Получаване на изгубен PUK код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Смяна на СИМ карта ( дефектна, открадната или мех. Повредена )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Забрана на изходящи повиквания при загубване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Отмяна на забрана на изходящи повиквания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Забрана на изходящи международни разговори/роуминг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Активиране на роуминг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Премахване на забрана на изходящи международни разговори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Промяна на цикъл на фактуриране</w:t>
            </w:r>
          </w:p>
          <w:p w:rsidR="005A184C" w:rsidRPr="00703591" w:rsidRDefault="005A184C" w:rsidP="00A424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91">
              <w:rPr>
                <w:rFonts w:ascii="Times New Roman" w:hAnsi="Times New Roman"/>
                <w:sz w:val="24"/>
                <w:szCs w:val="24"/>
              </w:rPr>
              <w:t>Активиране на GPRS</w:t>
            </w:r>
          </w:p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110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>Услугата трябва да осигурява в рамките на 2 работни дни доставката до посочен адрес на БТА на заявен SIM, мобилен апарат или устройство за достъп до интернет.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110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>Услугата включва като минимум включените в техническото задание услуги, но не ограничава ползването и на други, допълнително предлагани от оператора.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  <w:tr w:rsidR="005A184C" w:rsidRPr="00703591" w:rsidTr="00A424CC">
        <w:trPr>
          <w:trHeight w:val="110"/>
        </w:trPr>
        <w:tc>
          <w:tcPr>
            <w:tcW w:w="817" w:type="dxa"/>
          </w:tcPr>
          <w:p w:rsidR="005A184C" w:rsidRPr="00703591" w:rsidRDefault="005A184C" w:rsidP="005A184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18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  <w:r w:rsidRPr="00703591">
              <w:rPr>
                <w:color w:val="auto"/>
              </w:rPr>
              <w:t>Услугата трябва да бъде пълно и качествено достъпна за ползване във всички работни помещения и всички локации на БТА.</w:t>
            </w:r>
          </w:p>
        </w:tc>
        <w:tc>
          <w:tcPr>
            <w:tcW w:w="1877" w:type="dxa"/>
          </w:tcPr>
          <w:p w:rsidR="005A184C" w:rsidRPr="00703591" w:rsidRDefault="005A184C" w:rsidP="00A424CC">
            <w:pPr>
              <w:pStyle w:val="Default"/>
              <w:rPr>
                <w:color w:val="auto"/>
              </w:rPr>
            </w:pPr>
          </w:p>
        </w:tc>
      </w:tr>
    </w:tbl>
    <w:p w:rsidR="00A67A76" w:rsidRDefault="005A184C">
      <w:bookmarkStart w:id="0" w:name="_GoBack"/>
      <w:bookmarkEnd w:id="0"/>
    </w:p>
    <w:sectPr w:rsidR="00A6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02C54"/>
    <w:multiLevelType w:val="hybridMultilevel"/>
    <w:tmpl w:val="B87043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C7804"/>
    <w:multiLevelType w:val="hybridMultilevel"/>
    <w:tmpl w:val="0BD8DC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4C"/>
    <w:rsid w:val="00053FBE"/>
    <w:rsid w:val="000D42FE"/>
    <w:rsid w:val="003A7E66"/>
    <w:rsid w:val="003D2584"/>
    <w:rsid w:val="004E66EE"/>
    <w:rsid w:val="005900CF"/>
    <w:rsid w:val="005968DB"/>
    <w:rsid w:val="005A184C"/>
    <w:rsid w:val="00690AF0"/>
    <w:rsid w:val="00805CDB"/>
    <w:rsid w:val="009C6E7F"/>
    <w:rsid w:val="009F1C00"/>
    <w:rsid w:val="00B30EBB"/>
    <w:rsid w:val="00BB3348"/>
    <w:rsid w:val="00BC094E"/>
    <w:rsid w:val="00D6012C"/>
    <w:rsid w:val="00DB3810"/>
    <w:rsid w:val="00EB736D"/>
    <w:rsid w:val="00F3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F6C7F-61A8-44B8-A598-33E71424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8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18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thinova</dc:creator>
  <cp:keywords/>
  <dc:description/>
  <cp:lastModifiedBy>thinova</cp:lastModifiedBy>
  <cp:revision>1</cp:revision>
  <dcterms:created xsi:type="dcterms:W3CDTF">2015-10-13T10:11:00Z</dcterms:created>
  <dcterms:modified xsi:type="dcterms:W3CDTF">2015-10-13T10:12:00Z</dcterms:modified>
</cp:coreProperties>
</file>